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8" w:type="dxa"/>
        <w:tblLayout w:type="fixed"/>
        <w:tblLook w:val="0000" w:firstRow="0" w:lastRow="0" w:firstColumn="0" w:lastColumn="0" w:noHBand="0" w:noVBand="0"/>
      </w:tblPr>
      <w:tblGrid>
        <w:gridCol w:w="9858"/>
      </w:tblGrid>
      <w:tr w:rsidR="00601B17" w:rsidRPr="00B51C02" w:rsidTr="00601B17">
        <w:trPr>
          <w:trHeight w:hRule="exact" w:val="701"/>
        </w:trPr>
        <w:tc>
          <w:tcPr>
            <w:tcW w:w="9858" w:type="dxa"/>
          </w:tcPr>
          <w:p w:rsidR="00601B17" w:rsidRPr="00601B17" w:rsidRDefault="00601B17" w:rsidP="00377ABE">
            <w:pPr>
              <w:snapToGrid w:val="0"/>
              <w:jc w:val="center"/>
              <w:rPr>
                <w:rFonts w:ascii="Arial" w:hAnsi="Arial" w:cs="Arial"/>
                <w:b/>
                <w:color w:val="0070C0"/>
                <w:sz w:val="40"/>
              </w:rPr>
            </w:pPr>
            <w:r w:rsidRPr="00601B17">
              <w:rPr>
                <w:rFonts w:ascii="Arial" w:hAnsi="Arial" w:cs="Arial"/>
                <w:b/>
                <w:color w:val="0070C0"/>
                <w:sz w:val="40"/>
              </w:rPr>
              <w:t xml:space="preserve">Ente di governo dell’Ambito 4 </w:t>
            </w:r>
            <w:r w:rsidRPr="00601B17">
              <w:rPr>
                <w:rFonts w:ascii="Arial" w:hAnsi="Arial" w:cs="Arial"/>
                <w:b/>
                <w:i/>
                <w:color w:val="0070C0"/>
                <w:sz w:val="40"/>
              </w:rPr>
              <w:t>Cuneese</w:t>
            </w:r>
          </w:p>
          <w:p w:rsidR="00601B17" w:rsidRPr="00B51C02" w:rsidRDefault="00601B17" w:rsidP="00377ABE">
            <w:pPr>
              <w:snapToGrid w:val="0"/>
              <w:jc w:val="center"/>
              <w:rPr>
                <w:rFonts w:ascii="Arial" w:hAnsi="Arial" w:cs="Arial"/>
              </w:rPr>
            </w:pPr>
            <w:r w:rsidRPr="00B51C02">
              <w:rPr>
                <w:rFonts w:ascii="Arial" w:hAnsi="Arial" w:cs="Arial"/>
                <w:noProof/>
                <w:lang w:eastAsia="it-IT"/>
              </w:rPr>
              <w:drawing>
                <wp:inline distT="0" distB="0" distL="0" distR="0">
                  <wp:extent cx="1838325" cy="571500"/>
                  <wp:effectExtent l="0" t="0" r="9525" b="0"/>
                  <wp:docPr id="1" name="Immagine 1" descr="ato4 3 ver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4 3 versi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tc>
      </w:tr>
      <w:tr w:rsidR="00601B17" w:rsidRPr="00B51C02" w:rsidTr="00CF4C9A">
        <w:trPr>
          <w:trHeight w:val="1139"/>
        </w:trPr>
        <w:tc>
          <w:tcPr>
            <w:tcW w:w="9858" w:type="dxa"/>
          </w:tcPr>
          <w:p w:rsidR="00601B17" w:rsidRPr="00B51C02" w:rsidRDefault="00E470DF" w:rsidP="00E470DF">
            <w:pPr>
              <w:jc w:val="center"/>
              <w:rPr>
                <w:rFonts w:ascii="Arial" w:hAnsi="Arial" w:cs="Arial"/>
                <w:sz w:val="18"/>
                <w:szCs w:val="18"/>
                <w:lang w:val="en-GB"/>
              </w:rPr>
            </w:pPr>
            <w:r w:rsidRPr="00B51C02">
              <w:rPr>
                <w:rFonts w:ascii="Arial" w:hAnsi="Arial" w:cs="Arial"/>
                <w:noProof/>
                <w:lang w:eastAsia="it-IT"/>
              </w:rPr>
              <w:drawing>
                <wp:inline distT="0" distB="0" distL="0" distR="0">
                  <wp:extent cx="1838325" cy="571500"/>
                  <wp:effectExtent l="0" t="0" r="9525" b="0"/>
                  <wp:docPr id="2" name="Immagine 2" descr="ato4 3 vers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o4 3 versi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tc>
      </w:tr>
    </w:tbl>
    <w:p w:rsidR="00CF4C9A" w:rsidRDefault="00CF4C9A" w:rsidP="004C5728">
      <w:pPr>
        <w:jc w:val="both"/>
        <w:rPr>
          <w:rFonts w:ascii="Arial" w:hAnsi="Arial" w:cs="Arial"/>
          <w:b/>
          <w:sz w:val="32"/>
          <w:szCs w:val="21"/>
          <w:u w:val="single"/>
          <w:shd w:val="clear" w:color="auto" w:fill="FFFFFF"/>
        </w:rPr>
      </w:pPr>
    </w:p>
    <w:p w:rsidR="004C5728" w:rsidRPr="00CF4C9A" w:rsidRDefault="00601B17" w:rsidP="00271628">
      <w:pPr>
        <w:jc w:val="center"/>
        <w:rPr>
          <w:rFonts w:ascii="Arial" w:hAnsi="Arial" w:cs="Arial"/>
          <w:b/>
          <w:sz w:val="36"/>
          <w:szCs w:val="21"/>
          <w:u w:val="single"/>
          <w:shd w:val="clear" w:color="auto" w:fill="FFFFFF"/>
        </w:rPr>
      </w:pPr>
      <w:r w:rsidRPr="00CF4C9A">
        <w:rPr>
          <w:rFonts w:ascii="Arial" w:hAnsi="Arial" w:cs="Arial"/>
          <w:b/>
          <w:sz w:val="36"/>
          <w:szCs w:val="21"/>
          <w:u w:val="single"/>
          <w:shd w:val="clear" w:color="auto" w:fill="FFFFFF"/>
        </w:rPr>
        <w:t>C</w:t>
      </w:r>
      <w:r w:rsidR="004C5728" w:rsidRPr="00CF4C9A">
        <w:rPr>
          <w:rFonts w:ascii="Arial" w:hAnsi="Arial" w:cs="Arial"/>
          <w:b/>
          <w:sz w:val="36"/>
          <w:szCs w:val="21"/>
          <w:u w:val="single"/>
          <w:shd w:val="clear" w:color="auto" w:fill="FFFFFF"/>
        </w:rPr>
        <w:t>OMUNICATO</w:t>
      </w:r>
    </w:p>
    <w:p w:rsidR="004C5728" w:rsidRPr="00CF4C9A" w:rsidRDefault="004C5728" w:rsidP="004C5728">
      <w:pPr>
        <w:jc w:val="both"/>
        <w:rPr>
          <w:rFonts w:ascii="Arial" w:hAnsi="Arial" w:cs="Arial"/>
          <w:sz w:val="21"/>
          <w:szCs w:val="21"/>
          <w:shd w:val="clear" w:color="auto" w:fill="FFFFFF"/>
        </w:rPr>
      </w:pPr>
    </w:p>
    <w:p w:rsidR="004C5728" w:rsidRPr="00CF4C9A" w:rsidRDefault="004C5728" w:rsidP="004C5728">
      <w:pPr>
        <w:jc w:val="both"/>
        <w:rPr>
          <w:rFonts w:ascii="Arial" w:hAnsi="Arial" w:cs="Arial"/>
          <w:b/>
          <w:sz w:val="24"/>
          <w:szCs w:val="24"/>
          <w:shd w:val="clear" w:color="auto" w:fill="FFFFFF"/>
        </w:rPr>
      </w:pPr>
      <w:bookmarkStart w:id="0" w:name="_GoBack"/>
      <w:r w:rsidRPr="00CF4C9A">
        <w:rPr>
          <w:rFonts w:ascii="Arial" w:hAnsi="Arial" w:cs="Arial"/>
          <w:b/>
          <w:sz w:val="24"/>
          <w:szCs w:val="24"/>
          <w:shd w:val="clear" w:color="auto" w:fill="FFFFFF"/>
        </w:rPr>
        <w:t xml:space="preserve">Dal 1° luglio 2018 - Bonus sociale idrico alle famiglie disagiate e numerose.  </w:t>
      </w:r>
    </w:p>
    <w:bookmarkEnd w:id="0"/>
    <w:p w:rsidR="00CF4C9A" w:rsidRDefault="00CF4C9A" w:rsidP="004C5728">
      <w:pPr>
        <w:jc w:val="both"/>
        <w:rPr>
          <w:rFonts w:ascii="Arial" w:hAnsi="Arial" w:cs="Arial"/>
          <w:sz w:val="24"/>
          <w:szCs w:val="24"/>
          <w:shd w:val="clear" w:color="auto" w:fill="FFFFFF"/>
        </w:rPr>
      </w:pPr>
    </w:p>
    <w:p w:rsidR="004C5728" w:rsidRPr="00CF4C9A" w:rsidRDefault="004C5728" w:rsidP="004C5728">
      <w:pPr>
        <w:jc w:val="both"/>
        <w:rPr>
          <w:rFonts w:ascii="Arial" w:hAnsi="Arial" w:cs="Arial"/>
          <w:sz w:val="24"/>
          <w:szCs w:val="24"/>
          <w:shd w:val="clear" w:color="auto" w:fill="FFFFFF"/>
        </w:rPr>
      </w:pPr>
      <w:r w:rsidRPr="00CF4C9A">
        <w:rPr>
          <w:rFonts w:ascii="Arial" w:hAnsi="Arial" w:cs="Arial"/>
          <w:sz w:val="24"/>
          <w:szCs w:val="24"/>
          <w:shd w:val="clear" w:color="auto" w:fill="FFFFFF"/>
        </w:rPr>
        <w:t>Si comunica che l’Autorità di Regolazione per Energia Reti e Ambiente (ARERA) ha attivato la procedura per l’assegnazione del bonus sociale idrico alle famiglie disagiate e numerose con le deliberazioni 21 dicembre 2017 n. 897/2017R/idr e 5 aprile 2018 227/2018/R/idr, dando così attuazione a quanto previsto dal D.</w:t>
      </w:r>
      <w:r w:rsidR="00CF4C9A">
        <w:rPr>
          <w:rFonts w:ascii="Arial" w:hAnsi="Arial" w:cs="Arial"/>
          <w:sz w:val="24"/>
          <w:szCs w:val="24"/>
          <w:shd w:val="clear" w:color="auto" w:fill="FFFFFF"/>
        </w:rPr>
        <w:t>P.C.M.</w:t>
      </w:r>
      <w:r w:rsidRPr="00CF4C9A">
        <w:rPr>
          <w:rFonts w:ascii="Arial" w:hAnsi="Arial" w:cs="Arial"/>
          <w:sz w:val="24"/>
          <w:szCs w:val="24"/>
          <w:shd w:val="clear" w:color="auto" w:fill="FFFFFF"/>
        </w:rPr>
        <w:t xml:space="preserve"> 13 ottobre 2016. </w:t>
      </w:r>
    </w:p>
    <w:p w:rsidR="004C5728" w:rsidRPr="00CF4C9A" w:rsidRDefault="004C5728" w:rsidP="004C5728">
      <w:pPr>
        <w:jc w:val="both"/>
        <w:rPr>
          <w:rFonts w:ascii="Arial" w:hAnsi="Arial" w:cs="Arial"/>
          <w:sz w:val="24"/>
          <w:szCs w:val="24"/>
          <w:shd w:val="clear" w:color="auto" w:fill="FFFFFF"/>
        </w:rPr>
      </w:pPr>
      <w:r w:rsidRPr="00CF4C9A">
        <w:rPr>
          <w:rFonts w:ascii="Arial" w:hAnsi="Arial" w:cs="Arial"/>
          <w:sz w:val="24"/>
          <w:szCs w:val="24"/>
          <w:shd w:val="clear" w:color="auto" w:fill="FFFFFF"/>
        </w:rPr>
        <w:t xml:space="preserve">Si tratta di uno sconto in bolletta riconosciuto agli utenti del settore idrico che si trovano in condizioni di disagio economico. All'agevolazione possono accedere tutti i nuclei familiari con indicatore ISEE inferiore a 8.107,50 euro. Il limite sale a 20.000 euro per i nuclei con più di tre figli fiscalmente a carico (condizioni già previste per usufruire del bonus elettrico e gas). </w:t>
      </w:r>
    </w:p>
    <w:p w:rsidR="004C5728" w:rsidRPr="00CF4C9A" w:rsidRDefault="004C5728" w:rsidP="004C5728">
      <w:pPr>
        <w:jc w:val="both"/>
        <w:rPr>
          <w:rFonts w:ascii="Arial" w:hAnsi="Arial" w:cs="Arial"/>
          <w:sz w:val="24"/>
          <w:szCs w:val="24"/>
          <w:shd w:val="clear" w:color="auto" w:fill="FFFFFF"/>
        </w:rPr>
      </w:pPr>
      <w:r w:rsidRPr="00CF4C9A">
        <w:rPr>
          <w:rFonts w:ascii="Arial" w:hAnsi="Arial" w:cs="Arial"/>
          <w:sz w:val="24"/>
          <w:szCs w:val="24"/>
          <w:shd w:val="clear" w:color="auto" w:fill="FFFFFF"/>
        </w:rPr>
        <w:t xml:space="preserve">La richiesta deve essere presentata a partire dal 1 luglio 2018 </w:t>
      </w:r>
      <w:r w:rsidRPr="00CF4C9A">
        <w:rPr>
          <w:rFonts w:ascii="Arial" w:hAnsi="Arial" w:cs="Arial"/>
          <w:b/>
          <w:sz w:val="24"/>
          <w:szCs w:val="24"/>
          <w:u w:val="single"/>
          <w:shd w:val="clear" w:color="auto" w:fill="FFFFFF"/>
        </w:rPr>
        <w:t xml:space="preserve">al </w:t>
      </w:r>
      <w:r w:rsidR="00CF4C9A">
        <w:rPr>
          <w:rFonts w:ascii="Arial" w:hAnsi="Arial" w:cs="Arial"/>
          <w:b/>
          <w:sz w:val="24"/>
          <w:szCs w:val="24"/>
          <w:u w:val="single"/>
          <w:shd w:val="clear" w:color="auto" w:fill="FFFFFF"/>
        </w:rPr>
        <w:t>C</w:t>
      </w:r>
      <w:r w:rsidRPr="00CF4C9A">
        <w:rPr>
          <w:rFonts w:ascii="Arial" w:hAnsi="Arial" w:cs="Arial"/>
          <w:b/>
          <w:sz w:val="24"/>
          <w:szCs w:val="24"/>
          <w:u w:val="single"/>
          <w:shd w:val="clear" w:color="auto" w:fill="FFFFFF"/>
        </w:rPr>
        <w:t>omune di re</w:t>
      </w:r>
      <w:r w:rsidR="00CF4C9A">
        <w:rPr>
          <w:rFonts w:ascii="Arial" w:hAnsi="Arial" w:cs="Arial"/>
          <w:b/>
          <w:sz w:val="24"/>
          <w:szCs w:val="24"/>
          <w:u w:val="single"/>
          <w:shd w:val="clear" w:color="auto" w:fill="FFFFFF"/>
        </w:rPr>
        <w:t>sidenza (o ai Caf delegati dal C</w:t>
      </w:r>
      <w:r w:rsidRPr="00CF4C9A">
        <w:rPr>
          <w:rFonts w:ascii="Arial" w:hAnsi="Arial" w:cs="Arial"/>
          <w:b/>
          <w:sz w:val="24"/>
          <w:szCs w:val="24"/>
          <w:u w:val="single"/>
          <w:shd w:val="clear" w:color="auto" w:fill="FFFFFF"/>
        </w:rPr>
        <w:t>omune)</w:t>
      </w:r>
      <w:r w:rsidRPr="00CF4C9A">
        <w:rPr>
          <w:rFonts w:ascii="Arial" w:hAnsi="Arial" w:cs="Arial"/>
          <w:sz w:val="24"/>
          <w:szCs w:val="24"/>
          <w:shd w:val="clear" w:color="auto" w:fill="FFFFFF"/>
        </w:rPr>
        <w:t xml:space="preserve"> congiuntamente alla domanda per il </w:t>
      </w:r>
      <w:r w:rsidR="00CF4C9A">
        <w:rPr>
          <w:rFonts w:ascii="Arial" w:hAnsi="Arial" w:cs="Arial"/>
          <w:b/>
          <w:sz w:val="24"/>
          <w:szCs w:val="24"/>
          <w:u w:val="single"/>
          <w:shd w:val="clear" w:color="auto" w:fill="FFFFFF"/>
        </w:rPr>
        <w:t>B</w:t>
      </w:r>
      <w:r w:rsidRPr="00CF4C9A">
        <w:rPr>
          <w:rFonts w:ascii="Arial" w:hAnsi="Arial" w:cs="Arial"/>
          <w:b/>
          <w:sz w:val="24"/>
          <w:szCs w:val="24"/>
          <w:u w:val="single"/>
          <w:shd w:val="clear" w:color="auto" w:fill="FFFFFF"/>
        </w:rPr>
        <w:t>onus elettrico e/o gas.</w:t>
      </w:r>
    </w:p>
    <w:p w:rsidR="0068571F" w:rsidRPr="00CF4C9A" w:rsidRDefault="004C5728" w:rsidP="004C5728">
      <w:pPr>
        <w:jc w:val="both"/>
        <w:rPr>
          <w:rFonts w:ascii="Arial" w:hAnsi="Arial" w:cs="Arial"/>
          <w:sz w:val="24"/>
          <w:szCs w:val="24"/>
          <w:shd w:val="clear" w:color="auto" w:fill="FFFFFF"/>
        </w:rPr>
      </w:pPr>
      <w:r w:rsidRPr="00CF4C9A">
        <w:rPr>
          <w:rFonts w:ascii="Arial" w:hAnsi="Arial" w:cs="Arial"/>
          <w:sz w:val="24"/>
          <w:szCs w:val="24"/>
          <w:shd w:val="clear" w:color="auto" w:fill="FFFFFF"/>
        </w:rPr>
        <w:t>Lo sconto sarà applicato automaticamente dal Gestore del Servizio Idrico e sarà pari al costo di 18,25 m</w:t>
      </w:r>
      <w:r w:rsidR="00CF4C9A">
        <w:rPr>
          <w:rFonts w:ascii="Arial" w:hAnsi="Arial" w:cs="Arial"/>
          <w:sz w:val="24"/>
          <w:szCs w:val="24"/>
          <w:shd w:val="clear" w:color="auto" w:fill="FFFFFF"/>
        </w:rPr>
        <w:t>etri cubi di acqua</w:t>
      </w:r>
      <w:r w:rsidRPr="00CF4C9A">
        <w:rPr>
          <w:rFonts w:ascii="Arial" w:hAnsi="Arial" w:cs="Arial"/>
          <w:sz w:val="24"/>
          <w:szCs w:val="24"/>
          <w:shd w:val="clear" w:color="auto" w:fill="FFFFFF"/>
        </w:rPr>
        <w:t xml:space="preserve"> annui per ciascun componente il nucleo familiare. L’importo verrà erogato direttamente in bolletta per chi ha un contratto proprio di fornitura idrica, mentre la famiglia che vive in condominio riceverà il b</w:t>
      </w:r>
      <w:r w:rsidR="00CF4C9A">
        <w:rPr>
          <w:rFonts w:ascii="Arial" w:hAnsi="Arial" w:cs="Arial"/>
          <w:sz w:val="24"/>
          <w:szCs w:val="24"/>
          <w:shd w:val="clear" w:color="auto" w:fill="FFFFFF"/>
        </w:rPr>
        <w:t>onus in un'unica soluzione dal G</w:t>
      </w:r>
      <w:r w:rsidRPr="00CF4C9A">
        <w:rPr>
          <w:rFonts w:ascii="Arial" w:hAnsi="Arial" w:cs="Arial"/>
          <w:sz w:val="24"/>
          <w:szCs w:val="24"/>
          <w:shd w:val="clear" w:color="auto" w:fill="FFFFFF"/>
        </w:rPr>
        <w:t xml:space="preserve">estore del </w:t>
      </w:r>
      <w:r w:rsidR="00CF4C9A">
        <w:rPr>
          <w:rFonts w:ascii="Arial" w:hAnsi="Arial" w:cs="Arial"/>
          <w:sz w:val="24"/>
          <w:szCs w:val="24"/>
          <w:shd w:val="clear" w:color="auto" w:fill="FFFFFF"/>
        </w:rPr>
        <w:t>S</w:t>
      </w:r>
      <w:r w:rsidRPr="00CF4C9A">
        <w:rPr>
          <w:rFonts w:ascii="Arial" w:hAnsi="Arial" w:cs="Arial"/>
          <w:sz w:val="24"/>
          <w:szCs w:val="24"/>
          <w:shd w:val="clear" w:color="auto" w:fill="FFFFFF"/>
        </w:rPr>
        <w:t xml:space="preserve">ervizio </w:t>
      </w:r>
      <w:r w:rsidR="00CF4C9A">
        <w:rPr>
          <w:rFonts w:ascii="Arial" w:hAnsi="Arial" w:cs="Arial"/>
          <w:sz w:val="24"/>
          <w:szCs w:val="24"/>
          <w:shd w:val="clear" w:color="auto" w:fill="FFFFFF"/>
        </w:rPr>
        <w:t>I</w:t>
      </w:r>
      <w:r w:rsidRPr="00CF4C9A">
        <w:rPr>
          <w:rFonts w:ascii="Arial" w:hAnsi="Arial" w:cs="Arial"/>
          <w:sz w:val="24"/>
          <w:szCs w:val="24"/>
          <w:shd w:val="clear" w:color="auto" w:fill="FFFFFF"/>
        </w:rPr>
        <w:t>drico con le modalità individuate da quest'ultimo (ad esempio su conto corrente o</w:t>
      </w:r>
      <w:r w:rsidR="00CF4C9A">
        <w:rPr>
          <w:rFonts w:ascii="Arial" w:hAnsi="Arial" w:cs="Arial"/>
          <w:sz w:val="24"/>
          <w:szCs w:val="24"/>
          <w:shd w:val="clear" w:color="auto" w:fill="FFFFFF"/>
        </w:rPr>
        <w:t xml:space="preserve"> con assegno non trasferibile).</w:t>
      </w:r>
    </w:p>
    <w:sectPr w:rsidR="0068571F" w:rsidRPr="00CF4C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28" w:rsidRDefault="00271628" w:rsidP="00271628">
      <w:pPr>
        <w:spacing w:after="0" w:line="240" w:lineRule="auto"/>
      </w:pPr>
      <w:r>
        <w:separator/>
      </w:r>
    </w:p>
  </w:endnote>
  <w:endnote w:type="continuationSeparator" w:id="0">
    <w:p w:rsidR="00271628" w:rsidRDefault="00271628" w:rsidP="002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28" w:rsidRDefault="00271628" w:rsidP="00271628">
      <w:pPr>
        <w:spacing w:after="0" w:line="240" w:lineRule="auto"/>
      </w:pPr>
      <w:r>
        <w:separator/>
      </w:r>
    </w:p>
  </w:footnote>
  <w:footnote w:type="continuationSeparator" w:id="0">
    <w:p w:rsidR="00271628" w:rsidRDefault="00271628" w:rsidP="00271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8"/>
    <w:rsid w:val="00271628"/>
    <w:rsid w:val="004C5728"/>
    <w:rsid w:val="00601B17"/>
    <w:rsid w:val="0068571F"/>
    <w:rsid w:val="00CF4C9A"/>
    <w:rsid w:val="00E4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A1906-5F15-463B-877C-FF1EE2B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1B17"/>
    <w:rPr>
      <w:color w:val="0000FF"/>
      <w:u w:val="single"/>
    </w:rPr>
  </w:style>
  <w:style w:type="paragraph" w:styleId="Intestazione">
    <w:name w:val="header"/>
    <w:basedOn w:val="Normale"/>
    <w:link w:val="IntestazioneCarattere"/>
    <w:uiPriority w:val="99"/>
    <w:unhideWhenUsed/>
    <w:rsid w:val="002716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1628"/>
  </w:style>
  <w:style w:type="paragraph" w:styleId="Pidipagina">
    <w:name w:val="footer"/>
    <w:basedOn w:val="Normale"/>
    <w:link w:val="PidipaginaCarattere"/>
    <w:uiPriority w:val="99"/>
    <w:unhideWhenUsed/>
    <w:rsid w:val="002716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4</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Ghione - ATO5</dc:creator>
  <cp:lastModifiedBy>Baudino Carla</cp:lastModifiedBy>
  <cp:revision>2</cp:revision>
  <dcterms:created xsi:type="dcterms:W3CDTF">2018-06-27T09:44:00Z</dcterms:created>
  <dcterms:modified xsi:type="dcterms:W3CDTF">2018-06-27T09:44:00Z</dcterms:modified>
</cp:coreProperties>
</file>